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/>
        <w:ind w:hanging="2" w:left="0"/>
        <w:jc w:val="center"/>
        <w:rPr>
          <w:sz w:val="21"/>
          <w:szCs w:val="21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0" t="0" r="0" b="0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path="m0,0l-2147483645,0l-2147483645,-2147483646l0,-2147483646xe" stroked="f" o:allowincell="f" style="position:absolute;margin-left:0.05pt;margin-top:0.05pt;width:49.95pt;height:49.9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eastAsia="Merriweather"/>
          <w:b/>
          <w:sz w:val="21"/>
          <w:szCs w:val="21"/>
          <w:u w:val="single"/>
        </w:rPr>
        <w:t>DOCUMENTO DE FORMALIZAÇÃO DA DEMANDA (DFD)</w:t>
      </w:r>
    </w:p>
    <w:p>
      <w:pPr>
        <w:pStyle w:val="Normal"/>
        <w:tabs>
          <w:tab w:val="clear" w:pos="720"/>
          <w:tab w:val="left" w:pos="495" w:leader="none"/>
        </w:tabs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ab/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 xml:space="preserve">Setor Requisitante (Secretaria): </w:t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>Secretário de Obras, Serviços e Desenvolvimento Urbano</w:t>
      </w:r>
    </w:p>
    <w:p>
      <w:pPr>
        <w:pStyle w:val="Header"/>
        <w:spacing w:lineRule="auto" w:line="240"/>
        <w:ind w:hanging="2" w:left="0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Responsável pela Demanda:</w:t>
      </w:r>
      <w:r>
        <w:rPr>
          <w:rFonts w:eastAsia="Merriweather"/>
          <w:color w:val="000000"/>
          <w:sz w:val="21"/>
          <w:szCs w:val="21"/>
        </w:rPr>
        <w:t xml:space="preserve"> </w:t>
      </w:r>
      <w:r>
        <w:rPr>
          <w:rFonts w:cs="Arial"/>
          <w:color w:val="000000"/>
          <w:sz w:val="21"/>
          <w:szCs w:val="21"/>
        </w:rPr>
        <w:t>Romulo Ramalho Farias</w:t>
      </w:r>
      <w:r>
        <w:rPr>
          <w:rFonts w:cs="Arial"/>
          <w:b/>
          <w:i/>
          <w:color w:val="000000"/>
          <w:sz w:val="21"/>
          <w:szCs w:val="21"/>
        </w:rPr>
        <w:t xml:space="preserve"> </w:t>
      </w:r>
      <w:r>
        <w:rPr>
          <w:rFonts w:eastAsia="Merriweather" w:cs="Arial"/>
          <w:color w:val="000000"/>
          <w:sz w:val="21"/>
          <w:szCs w:val="21"/>
        </w:rPr>
        <w:t>Secretário de Obras, Serviços e Desenvolvimento Urbano</w:t>
      </w:r>
    </w:p>
    <w:p>
      <w:pPr>
        <w:pStyle w:val="Header"/>
        <w:spacing w:lineRule="auto" w:line="240"/>
        <w:ind w:hanging="2" w:left="0"/>
        <w:rPr>
          <w:rFonts w:eastAsia="Merriweather"/>
          <w:color w:val="000000"/>
          <w:sz w:val="21"/>
          <w:szCs w:val="21"/>
        </w:rPr>
      </w:pPr>
      <w:r>
        <w:rPr>
          <w:rFonts w:eastAsia="Merriweather"/>
          <w:color w:val="000000"/>
          <w:sz w:val="21"/>
          <w:szCs w:val="21"/>
        </w:rPr>
      </w:r>
    </w:p>
    <w:p>
      <w:pPr>
        <w:pStyle w:val="Header"/>
        <w:spacing w:lineRule="auto" w:line="240"/>
        <w:ind w:hanging="0" w:left="0"/>
        <w:rPr>
          <w:sz w:val="21"/>
          <w:szCs w:val="21"/>
        </w:rPr>
      </w:pPr>
      <w:r>
        <w:rPr>
          <w:rFonts w:eastAsia="Merriweather"/>
          <w:b/>
          <w:sz w:val="21"/>
          <w:szCs w:val="21"/>
          <w:u w:val="single"/>
        </w:rPr>
        <w:t>Objeto</w:t>
      </w:r>
      <w:r>
        <w:rPr>
          <w:rFonts w:eastAsia="Merriweather"/>
          <w:sz w:val="21"/>
          <w:szCs w:val="21"/>
        </w:rPr>
        <w:t xml:space="preserve">: </w:t>
      </w:r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967738093" w:edGrp="everyone"/>
      <w:r>
        <w:rPr>
          <w:rFonts w:eastAsia="Merriweather"/>
          <w:sz w:val="21"/>
          <w:szCs w:val="21"/>
        </w:rPr>
        <w:t xml:space="preserve"> x ) Serviço não continuado; </w:t>
      </w:r>
      <w:permEnd w:id="1967738093"/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73154914" w:edGrp="everyone"/>
      <w:r>
        <w:rPr>
          <w:rFonts w:eastAsia="Merriweather"/>
          <w:sz w:val="21"/>
          <w:szCs w:val="21"/>
        </w:rPr>
        <w:t xml:space="preserve">    ) Serviço continuado SEM dedicação exclusiva de mão de obra; </w:t>
      </w:r>
      <w:permEnd w:id="73154914"/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490517619" w:edGrp="everyone"/>
      <w:r>
        <w:rPr>
          <w:rFonts w:eastAsia="Merriweather"/>
          <w:sz w:val="21"/>
          <w:szCs w:val="21"/>
        </w:rPr>
        <w:t xml:space="preserve">    ) Serviço continuado COM dedicação exclusiva de mão de obra;</w:t>
      </w:r>
      <w:permEnd w:id="1490517619"/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191051595" w:edGrp="everyone"/>
      <w:r>
        <w:rPr>
          <w:rFonts w:eastAsia="Merriweather"/>
          <w:sz w:val="21"/>
          <w:szCs w:val="21"/>
        </w:rPr>
        <w:t xml:space="preserve">    ) Material de consumo; </w:t>
      </w:r>
      <w:permEnd w:id="1191051595"/>
    </w:p>
    <w:p>
      <w:pPr>
        <w:pStyle w:val="Header"/>
        <w:spacing w:lineRule="auto" w:line="240"/>
        <w:ind w:hanging="2" w:left="0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881756356" w:edGrp="everyone"/>
      <w:r>
        <w:rPr>
          <w:rFonts w:eastAsia="Merriweather"/>
          <w:sz w:val="21"/>
          <w:szCs w:val="21"/>
        </w:rPr>
        <w:t xml:space="preserve">    ) Material permanente / equipamento.</w:t>
      </w:r>
      <w:permEnd w:id="1881756356"/>
    </w:p>
    <w:p>
      <w:pPr>
        <w:pStyle w:val="Header"/>
        <w:spacing w:lineRule="auto" w:line="240"/>
        <w:ind w:hanging="2" w:left="0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Header"/>
        <w:spacing w:lineRule="auto" w:line="240"/>
        <w:ind w:hanging="2" w:left="0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  <w:u w:val="single"/>
        </w:rPr>
        <w:t>Forma de Contratação sugerida</w:t>
      </w:r>
      <w:r>
        <w:rPr>
          <w:rFonts w:eastAsia="Merriweather"/>
          <w:sz w:val="21"/>
          <w:szCs w:val="21"/>
        </w:rPr>
        <w:t>:</w:t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permStart w:id="851055431" w:edGrp="everyone"/>
      <w:r>
        <w:rPr>
          <w:rFonts w:eastAsia="Merriweather"/>
          <w:sz w:val="21"/>
          <w:szCs w:val="21"/>
        </w:rPr>
        <w:t xml:space="preserve">Modalidades da </w:t>
      </w:r>
      <w:r>
        <w:rPr>
          <w:rFonts w:eastAsia="Merriweather"/>
          <w:color w:val="000000"/>
          <w:sz w:val="21"/>
          <w:szCs w:val="21"/>
        </w:rPr>
        <w:t xml:space="preserve">Lei n.º14.133/21 </w:t>
      </w:r>
      <w:permEnd w:id="851055431"/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color w:val="000000"/>
          <w:sz w:val="21"/>
          <w:szCs w:val="21"/>
        </w:rPr>
        <w:t>(</w:t>
      </w:r>
      <w:permStart w:id="933378302" w:edGrp="everyone"/>
      <w:r>
        <w:rPr>
          <w:rFonts w:eastAsia="Merriweather"/>
          <w:color w:val="000000"/>
          <w:sz w:val="21"/>
          <w:szCs w:val="21"/>
        </w:rPr>
        <w:t xml:space="preserve">   ) Pregão Eletrônico</w:t>
      </w:r>
      <w:permEnd w:id="933378302"/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700087375" w:edGrp="everyone"/>
      <w:r>
        <w:rPr>
          <w:rFonts w:eastAsia="Merriweather"/>
          <w:sz w:val="21"/>
          <w:szCs w:val="21"/>
        </w:rPr>
        <w:t xml:space="preserve">    ) Dispensa/Inexigibilidade; </w:t>
      </w:r>
      <w:permEnd w:id="700087375"/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(</w:t>
      </w:r>
      <w:permStart w:id="1049298495" w:edGrp="everyone"/>
      <w:r>
        <w:rPr>
          <w:rFonts w:eastAsia="Merriweather"/>
          <w:sz w:val="21"/>
          <w:szCs w:val="21"/>
        </w:rPr>
        <w:t xml:space="preserve">    ) Adesão à IRP de outro Órgão.</w:t>
      </w:r>
      <w:permEnd w:id="1049298495"/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( x ) Concorrência Eletrônica</w:t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1. Justificativa da necessidade da contratação da solução, considerando o Planejamento Estratégico, se for o caso</w:t>
      </w:r>
      <w:r>
        <w:rPr>
          <w:rFonts w:eastAsia="Merriweather"/>
          <w:sz w:val="21"/>
          <w:szCs w:val="21"/>
        </w:rPr>
        <w:t>:</w:t>
      </w:r>
    </w:p>
    <w:p>
      <w:pPr>
        <w:pStyle w:val="BodyText"/>
        <w:spacing w:lineRule="auto" w:line="36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 xml:space="preserve">O Município de Bandeirantes/PR iniciou a obra de construção do Centro de Fisioterapia Municipal, com o objetivo de ampliar e qualificar os serviços de reabilitação físicas ofertadas pela rede pública de saúde. A obra foi parcialmente executada por empresa anteriormente contratada, mas teve seu contrato interrompido antes da conclusão, resultando na paralisação do empreendimento. </w:t>
      </w:r>
      <w:r>
        <w:rPr>
          <w:sz w:val="21"/>
          <w:szCs w:val="21"/>
        </w:rPr>
        <w:t>A etapa do muro de arrimo encontra-se parcialmente concluída, com execução de blocos de fundação, vigas baldrames e ponto de drenagem. Contudo, a paralisação impediu o avanço para as demais fases da construção, comprometendo a funcionalidade da edificação e a eficiência do recurso público já aplicado.</w:t>
      </w:r>
    </w:p>
    <w:p>
      <w:pPr>
        <w:pStyle w:val="BodyText"/>
        <w:spacing w:lineRule="auto" w:line="360"/>
        <w:ind w:hanging="2" w:left="0"/>
        <w:jc w:val="both"/>
        <w:rPr>
          <w:sz w:val="21"/>
          <w:szCs w:val="21"/>
        </w:rPr>
      </w:pPr>
      <w:r>
        <w:rPr>
          <w:sz w:val="21"/>
          <w:szCs w:val="21"/>
        </w:rPr>
        <w:t>Diante desse cenário, torna-se necessária a contratação de nova empresa especializada para retomada e conclusão dos serviços remanescentes, conforme projeto executivo e planilha orçamentária atualizada (fevereiro/2025). A futura contratada deverá realizar vistoria técnica para verificar a integridade das estruturas existentes antes da continuidade da obra.</w:t>
      </w:r>
    </w:p>
    <w:p>
      <w:pPr>
        <w:pStyle w:val="BodyText"/>
        <w:spacing w:lineRule="auto" w:line="360"/>
        <w:ind w:hanging="2" w:left="0"/>
        <w:jc w:val="both"/>
        <w:rPr>
          <w:sz w:val="21"/>
          <w:szCs w:val="21"/>
        </w:rPr>
      </w:pPr>
      <w:r>
        <w:rPr>
          <w:sz w:val="21"/>
          <w:szCs w:val="21"/>
        </w:rPr>
        <w:t>A demanda é coordenada tecnicamente pela Secretaria Municipal de Planejamento e Obras, a pedido da Secretaria Municipal de Saúde, como parte da estratégia de fortalecimento da infraestrutura da atenção especializada. A contratação permitirá restabelecer o andamento da obra pública paralisada e assegurar a entrega do Centro de Fisioterapia à população, promovendo melhorias concretas na saúde e no bem-estar social.</w:t>
      </w:r>
    </w:p>
    <w:p>
      <w:pPr>
        <w:pStyle w:val="BodyText"/>
        <w:spacing w:lineRule="auto" w:line="360"/>
        <w:ind w:hanging="2" w:left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BodyText"/>
        <w:spacing w:lineRule="auto" w:line="360"/>
        <w:ind w:hanging="2" w:left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BodyText"/>
        <w:spacing w:lineRule="auto" w:line="240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2. Quantidade de material/serviço da solução a ser contratada</w:t>
      </w:r>
      <w:r>
        <w:rPr>
          <w:rFonts w:eastAsia="Merriweather"/>
          <w:sz w:val="21"/>
          <w:szCs w:val="21"/>
        </w:rPr>
        <w:t>:</w:t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b/>
          <w:sz w:val="21"/>
          <w:szCs w:val="21"/>
        </w:rPr>
      </w:pPr>
      <w:r>
        <w:rPr>
          <w:rFonts w:eastAsia="Merriweather"/>
          <w:b/>
          <w:sz w:val="21"/>
          <w:szCs w:val="21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761"/>
        <w:gridCol w:w="5471"/>
        <w:gridCol w:w="1748"/>
        <w:gridCol w:w="1657"/>
      </w:tblGrid>
      <w:tr>
        <w:trPr>
          <w:tblHeader w:val="true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tulodetabela"/>
              <w:spacing w:lineRule="auto" w:line="240"/>
              <w:rPr/>
            </w:pPr>
            <w:r>
              <w:rPr>
                <w:rStyle w:val="Strong"/>
                <w:b/>
                <w:sz w:val="21"/>
                <w:szCs w:val="21"/>
              </w:rPr>
              <w:t>ITEM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tulodetabela"/>
              <w:spacing w:lineRule="auto" w:line="240"/>
              <w:rPr/>
            </w:pPr>
            <w:r>
              <w:rPr>
                <w:rStyle w:val="Strong"/>
                <w:b/>
                <w:sz w:val="21"/>
                <w:szCs w:val="21"/>
              </w:rPr>
              <w:t>ESPECIFICAÇÃO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tulodetabela"/>
              <w:spacing w:lineRule="auto" w:line="240"/>
              <w:rPr/>
            </w:pPr>
            <w:r>
              <w:rPr>
                <w:rStyle w:val="Strong"/>
                <w:b/>
                <w:sz w:val="21"/>
                <w:szCs w:val="21"/>
              </w:rPr>
              <w:t>QUANTIDADE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tulodetabela"/>
              <w:spacing w:lineRule="auto" w:line="240"/>
              <w:rPr/>
            </w:pPr>
            <w:r>
              <w:rPr>
                <w:rStyle w:val="Strong"/>
                <w:b/>
                <w:sz w:val="21"/>
                <w:szCs w:val="21"/>
              </w:rPr>
              <w:t>VALOR TOTAL</w:t>
            </w:r>
          </w:p>
        </w:tc>
      </w:tr>
      <w:tr>
        <w:trPr/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54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CONTRATAÇÃO DE EMPRESA PARA EXECUÇÃO DA OBRA DE CONSTRUÇÃO DO CENTRO DE FISIOTERAPIA MUNICIPAL, COMPREENDENDO FUNDAÇÕES, ESTRUTURA DE CONCRETO ARMADO, SISTEMA DE DRENAGEM E IMPERMEABILIZAÇÃO, ALVENARIA, INSTALAÇÕES HIDROSSANITÁRIAS E ELÉTRICAS, REVESTIMENTOS, ACABAMENTOS E DEMAIS ELEMENTOS NECESSÁRIOS AO PLENO FUNCIONAMENTO DA UNIDADE, EM BANDEIRANTES/PR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spacing w:lineRule="auto" w:line="2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R$ 1.565.469,80 (um milhão, quinhentos e sessenta e cinco mil, quatrocentos e sessenta e nove reais e oitenta centavos)</w:t>
            </w:r>
          </w:p>
        </w:tc>
      </w:tr>
    </w:tbl>
    <w:p>
      <w:pPr>
        <w:pStyle w:val="Normal"/>
        <w:spacing w:lineRule="auto" w:line="240"/>
        <w:ind w:hanging="0" w:left="0"/>
        <w:jc w:val="both"/>
        <w:rPr>
          <w:rFonts w:eastAsia="Merriweather"/>
          <w:b/>
          <w:sz w:val="21"/>
          <w:szCs w:val="21"/>
        </w:rPr>
      </w:pPr>
      <w:r>
        <w:rPr>
          <w:rFonts w:eastAsia="Merriweather"/>
          <w:b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b/>
          <w:sz w:val="21"/>
          <w:szCs w:val="21"/>
        </w:rPr>
      </w:pPr>
      <w:r>
        <w:rPr>
          <w:rFonts w:eastAsia="Merriweather"/>
          <w:b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3. Previsão de data em que deve ser assinado o instrumento contratual</w:t>
      </w:r>
      <w:r>
        <w:rPr>
          <w:rFonts w:eastAsia="Merriweather"/>
          <w:sz w:val="21"/>
          <w:szCs w:val="21"/>
        </w:rPr>
        <w:t>: 05 dias úteis a ser determinado em contrato.</w:t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b/>
          <w:sz w:val="21"/>
          <w:szCs w:val="21"/>
        </w:rPr>
      </w:pPr>
      <w:r>
        <w:rPr>
          <w:rFonts w:eastAsia="Merriweather"/>
          <w:b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4. Créditos Orçamentários</w:t>
      </w:r>
      <w:r>
        <w:rPr>
          <w:rFonts w:eastAsia="Merriweather"/>
          <w:sz w:val="21"/>
          <w:szCs w:val="21"/>
        </w:rPr>
        <w:t>:</w:t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/>
      </w:pPr>
      <w:r>
        <w:rPr>
          <w:rFonts w:eastAsia="Merriweather"/>
          <w:sz w:val="21"/>
          <w:szCs w:val="21"/>
        </w:rPr>
        <w:t xml:space="preserve">4.1. Valor estimado da contratação: </w:t>
      </w:r>
      <w:r>
        <w:rPr>
          <w:rFonts w:eastAsia="Merriweather"/>
          <w:b/>
          <w:bCs/>
          <w:sz w:val="21"/>
          <w:szCs w:val="21"/>
        </w:rPr>
        <w:t>R</w:t>
      </w:r>
      <w:r>
        <w:rPr>
          <w:rStyle w:val="Strong"/>
          <w:rFonts w:eastAsia="Arial"/>
          <w:sz w:val="21"/>
          <w:szCs w:val="21"/>
        </w:rPr>
        <w:t xml:space="preserve">$ </w:t>
      </w:r>
      <w:r>
        <w:rPr>
          <w:rStyle w:val="Strong"/>
          <w:rFonts w:eastAsia="Merriweather"/>
          <w:sz w:val="21"/>
          <w:szCs w:val="21"/>
        </w:rPr>
        <w:t>R$ 1.565.469,80 (um milhão, quinhentos e sessenta e cinco mil, quatrocentos e sessenta e nove reais e oitenta centavos)</w:t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bCs/>
          <w:sz w:val="21"/>
          <w:szCs w:val="21"/>
        </w:rPr>
        <w:t xml:space="preserve">4.2. Ação do Plano Operacional (Plano Interno): </w:t>
      </w:r>
      <w:r>
        <w:rPr>
          <w:rFonts w:eastAsia="Merriweather"/>
          <w:b/>
          <w:bCs/>
          <w:color w:val="000000"/>
          <w:sz w:val="21"/>
          <w:szCs w:val="21"/>
        </w:rPr>
        <w:t xml:space="preserve">Id do item no PCA: </w:t>
      </w:r>
      <w:permStart w:id="1327567577" w:edGrp="everyone"/>
      <w:r>
        <w:rPr>
          <w:rFonts w:eastAsia="Merriweather"/>
          <w:b/>
          <w:bCs/>
          <w:color w:val="000000"/>
          <w:sz w:val="21"/>
          <w:szCs w:val="21"/>
        </w:rPr>
        <w:t>SS0364</w:t>
      </w:r>
      <w:permEnd w:id="1327567577"/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b/>
          <w:bCs/>
          <w:sz w:val="21"/>
          <w:szCs w:val="21"/>
          <w:shd w:fill="FFFF00" w:val="clear"/>
        </w:rPr>
      </w:pPr>
      <w:r>
        <w:rPr>
          <w:b/>
          <w:bCs/>
          <w:sz w:val="21"/>
          <w:szCs w:val="21"/>
          <w:shd w:fill="FFFF00" w:val="clear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bCs/>
          <w:sz w:val="21"/>
          <w:szCs w:val="21"/>
        </w:rPr>
        <w:t>4.3. Plano Orçamentário:</w:t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/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085" cy="2338070"/>
            <wp:effectExtent l="0" t="0" r="0" b="0"/>
            <wp:wrapSquare wrapText="largest"/>
            <wp:docPr id="2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338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color w:val="000000"/>
          <w:sz w:val="21"/>
          <w:szCs w:val="21"/>
        </w:rPr>
      </w:pPr>
      <w:r>
        <w:rPr>
          <w:rFonts w:eastAsia="Merriweather"/>
          <w:color w:val="000000"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rFonts w:eastAsia="Merriweather"/>
          <w:b/>
          <w:bCs/>
          <w:sz w:val="21"/>
          <w:szCs w:val="21"/>
        </w:rPr>
      </w:pPr>
      <w:r>
        <w:rPr>
          <w:rFonts w:eastAsia="Merriweather"/>
          <w:b/>
          <w:bCs/>
          <w:sz w:val="21"/>
          <w:szCs w:val="21"/>
        </w:rPr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b/>
          <w:sz w:val="21"/>
          <w:szCs w:val="21"/>
        </w:rPr>
        <w:t>5. Indicação do(s) integrante(s) da equipe de planejamento</w:t>
      </w:r>
      <w:r>
        <w:rPr>
          <w:rFonts w:eastAsia="Merriweather"/>
          <w:sz w:val="21"/>
          <w:szCs w:val="21"/>
        </w:rPr>
        <w:t>:</w:t>
      </w:r>
    </w:p>
    <w:p>
      <w:pPr>
        <w:pStyle w:val="Normal"/>
        <w:spacing w:lineRule="auto" w:line="240"/>
        <w:ind w:hanging="0" w:left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numPr>
          <w:ilvl w:val="0"/>
          <w:numId w:val="1"/>
        </w:numPr>
        <w:spacing w:lineRule="auto" w:line="240"/>
        <w:ind w:hanging="0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Fiscal Técnico, titular e substituto:</w:t>
      </w:r>
      <w:permStart w:id="1660118592" w:edGrp="everyone"/>
      <w:r>
        <w:rPr>
          <w:rFonts w:eastAsia="Merriweather"/>
          <w:sz w:val="21"/>
          <w:szCs w:val="21"/>
        </w:rPr>
        <w:t xml:space="preserve"> LEONARDO</w:t>
      </w:r>
      <w:r>
        <w:rPr>
          <w:rFonts w:eastAsia="Merriweather" w:cs="Arial"/>
          <w:sz w:val="21"/>
          <w:szCs w:val="21"/>
        </w:rPr>
        <w:t xml:space="preserve"> ANDRÉ ROSSATO e </w:t>
      </w:r>
      <w:r>
        <w:rPr>
          <w:rFonts w:eastAsia="Merriweather"/>
          <w:sz w:val="21"/>
          <w:szCs w:val="21"/>
        </w:rPr>
        <w:t>LARISSA MACIEL TICIANEL</w:t>
      </w:r>
      <w:permEnd w:id="1660118592"/>
    </w:p>
    <w:p>
      <w:pPr>
        <w:pStyle w:val="Normal"/>
        <w:numPr>
          <w:ilvl w:val="0"/>
          <w:numId w:val="1"/>
        </w:numPr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Assessoria de Planejamento, titular e substituto: LARISSA MACIEL TICIANEL</w:t>
      </w:r>
      <w:permStart w:id="2071478429" w:edGrp="everyone"/>
      <w:r>
        <w:rPr>
          <w:rFonts w:eastAsia="Merriweather" w:cs="Arial"/>
          <w:sz w:val="21"/>
          <w:szCs w:val="21"/>
        </w:rPr>
        <w:t xml:space="preserve"> e LEONARDO ANDRÉ ROSSATO </w:t>
      </w:r>
      <w:permEnd w:id="2071478429"/>
    </w:p>
    <w:p>
      <w:pPr>
        <w:pStyle w:val="Normal"/>
        <w:numPr>
          <w:ilvl w:val="0"/>
          <w:numId w:val="1"/>
        </w:numPr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Gestor do Contrato, titular e substituto:</w:t>
      </w:r>
      <w:permStart w:id="1796833214" w:edGrp="everyone"/>
      <w:r>
        <w:rPr>
          <w:rFonts w:eastAsia="Merriweather"/>
          <w:sz w:val="21"/>
          <w:szCs w:val="21"/>
        </w:rPr>
        <w:t xml:space="preserve">  AMANDA FREZZATO CATELAN</w:t>
      </w:r>
      <w:r>
        <w:rPr>
          <w:rFonts w:eastAsia="Merriweather" w:cs="Arial"/>
          <w:sz w:val="21"/>
          <w:szCs w:val="21"/>
        </w:rPr>
        <w:t xml:space="preserve"> e LEONARDO ANDRÉ ROSSATO</w:t>
      </w:r>
      <w:permEnd w:id="1796833214"/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Submeto o Documento de Formalização da Demanda para avaliação.</w:t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sz w:val="21"/>
          <w:szCs w:val="21"/>
        </w:rPr>
      </w:pPr>
      <w:r>
        <w:rPr>
          <w:rFonts w:eastAsia="Merriweather"/>
          <w:sz w:val="21"/>
          <w:szCs w:val="21"/>
        </w:rPr>
        <w:t>Bandeirantes, 10 de outubro de 2025</w:t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both"/>
        <w:rPr>
          <w:rFonts w:eastAsia="Merriweather"/>
          <w:sz w:val="21"/>
          <w:szCs w:val="21"/>
        </w:rPr>
      </w:pPr>
      <w:r>
        <w:rPr>
          <w:rFonts w:eastAsia="Merriweather"/>
          <w:sz w:val="21"/>
          <w:szCs w:val="21"/>
        </w:rPr>
      </w:r>
    </w:p>
    <w:p>
      <w:pPr>
        <w:pStyle w:val="Normal"/>
        <w:spacing w:lineRule="auto" w:line="240"/>
        <w:ind w:hanging="2" w:left="0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ind w:hanging="0" w:left="-1" w:right="-284"/>
        <w:jc w:val="center"/>
        <w:rPr>
          <w:sz w:val="21"/>
          <w:szCs w:val="21"/>
        </w:rPr>
      </w:pPr>
      <w:r>
        <w:rPr>
          <w:rFonts w:eastAsia="Merriweather"/>
          <w:sz w:val="21"/>
          <w:szCs w:val="21"/>
        </w:rPr>
        <w:t>_____________________________________________</w:t>
      </w:r>
    </w:p>
    <w:p>
      <w:pPr>
        <w:pStyle w:val="Normal"/>
        <w:spacing w:lineRule="auto" w:line="276"/>
        <w:ind w:hanging="0" w:left="-1"/>
        <w:jc w:val="center"/>
        <w:rPr>
          <w:sz w:val="21"/>
          <w:szCs w:val="21"/>
        </w:rPr>
      </w:pPr>
      <w:r>
        <w:rPr>
          <w:rFonts w:eastAsia="Merriweather"/>
          <w:bCs/>
          <w:sz w:val="21"/>
          <w:szCs w:val="21"/>
        </w:rPr>
        <w:t>AMANDA FREZZATO CATELAN</w:t>
      </w:r>
    </w:p>
    <w:p>
      <w:pPr>
        <w:pStyle w:val="Normal"/>
        <w:spacing w:lineRule="auto" w:line="240"/>
        <w:ind w:hanging="1" w:left="-1" w:right="51"/>
        <w:jc w:val="center"/>
        <w:rPr>
          <w:sz w:val="21"/>
          <w:szCs w:val="21"/>
        </w:rPr>
      </w:pPr>
      <w:r>
        <w:rPr>
          <w:sz w:val="21"/>
          <w:szCs w:val="21"/>
        </w:rPr>
        <w:t>Secretária de Obras, Serviços e Desenvolvimento Urbano</w:t>
      </w:r>
    </w:p>
    <w:p>
      <w:pPr>
        <w:pStyle w:val="Normal"/>
        <w:spacing w:lineRule="auto" w:line="240"/>
        <w:ind w:hanging="1" w:left="-1" w:right="51"/>
        <w:jc w:val="center"/>
        <w:rPr>
          <w:sz w:val="21"/>
          <w:szCs w:val="21"/>
        </w:rPr>
      </w:pPr>
      <w:r>
        <w:rPr>
          <w:b/>
          <w:bCs/>
          <w:sz w:val="21"/>
          <w:szCs w:val="21"/>
        </w:rPr>
        <w:t>CAU A235937-5</w:t>
      </w:r>
    </w:p>
    <w:p>
      <w:pPr>
        <w:pStyle w:val="Normal"/>
        <w:spacing w:lineRule="auto" w:line="240"/>
        <w:ind w:hanging="1" w:left="-1" w:right="51"/>
        <w:jc w:val="center"/>
        <w:rPr/>
      </w:pPr>
      <w:r>
        <w:rPr>
          <w:rStyle w:val="Strong"/>
          <w:rFonts w:eastAsia="Merriweather"/>
          <w:i/>
          <w:iCs/>
          <w:color w:val="000000"/>
          <w:sz w:val="21"/>
          <w:szCs w:val="21"/>
        </w:rPr>
        <w:t>Portaria 15.278/2025</w:t>
      </w:r>
    </w:p>
    <w:p>
      <w:pPr>
        <w:pStyle w:val="Normal"/>
        <w:spacing w:lineRule="auto" w:line="240"/>
        <w:ind w:hanging="2" w:left="0"/>
        <w:jc w:val="center"/>
        <w:rPr>
          <w:rFonts w:eastAsia="Merriweather"/>
          <w:color w:val="FF0000"/>
          <w:sz w:val="21"/>
          <w:szCs w:val="21"/>
        </w:rPr>
      </w:pPr>
      <w:r>
        <w:rPr>
          <w:rFonts w:eastAsia="Merriweather"/>
          <w:color w:val="FF0000"/>
          <w:sz w:val="21"/>
          <w:szCs w:val="21"/>
        </w:rPr>
      </w:r>
    </w:p>
    <w:sectPr>
      <w:headerReference w:type="default" r:id="rId3"/>
      <w:footerReference w:type="default" r:id="rId4"/>
      <w:type w:val="nextPage"/>
      <w:pgSz w:w="11906" w:h="16838"/>
      <w:pgMar w:left="1134" w:right="1701" w:gutter="0" w:header="720" w:top="2410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yala">
    <w:charset w:val="00"/>
    <w:family w:val="roman"/>
    <w:pitch w:val="variable"/>
  </w:font>
  <w:font w:name="Georgia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3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1" allowOverlap="1" relativeHeight="9">
              <wp:simplePos x="0" y="0"/>
              <wp:positionH relativeFrom="column">
                <wp:posOffset>787400</wp:posOffset>
              </wp:positionH>
              <wp:positionV relativeFrom="paragraph">
                <wp:posOffset>-152400</wp:posOffset>
              </wp:positionV>
              <wp:extent cx="6130290" cy="990600"/>
              <wp:effectExtent l="0" t="0" r="0" b="0"/>
              <wp:wrapNone/>
              <wp:docPr id="4" name="Quadro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0440" cy="99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both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Quadro1" path="m0,0l-2147483645,0l-2147483645,-2147483646l0,-2147483646xe" fillcolor="white" stroked="f" o:allowincell="f" style="position:absolute;margin-left:62pt;margin-top:-12pt;width:482.65pt;height:77.95pt;mso-wrap-style:square;v-text-anchor:top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both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PT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ind w:left="3969"/>
      <w:jc w:val="both"/>
    </w:pPr>
    <w:rPr>
      <w:b/>
      <w:szCs w:val="20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RodapChar" w:customStyle="1">
    <w:name w:val="Rodapé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3Char" w:customStyle="1">
    <w:name w:val="Título 3 Char"/>
    <w:qFormat/>
    <w:rPr>
      <w:rFonts w:ascii="Calibri Light" w:hAnsi="Calibri Light" w:eastAsia="Times New Roman" w:cs="Times New Roman"/>
      <w:b/>
      <w:b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Recuodecorpodetexto3Char" w:customStyle="1">
    <w:name w:val="Recuo de corpo de texto 3 Char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Strong">
    <w:name w:val="Strong"/>
    <w:qFormat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odyTextIndent">
    <w:name w:val="Body Text Indent"/>
    <w:basedOn w:val="Normal"/>
    <w:pPr>
      <w:ind w:firstLine="3118" w:left="851"/>
      <w:jc w:val="both"/>
    </w:pPr>
    <w:rPr>
      <w:sz w:val="28"/>
      <w:szCs w:val="20"/>
    </w:rPr>
  </w:style>
  <w:style w:type="paragraph" w:styleId="BodyTextIndent2">
    <w:name w:val="Body Text Indent 2"/>
    <w:basedOn w:val="Normal"/>
    <w:qFormat/>
    <w:pPr>
      <w:ind w:firstLine="2889" w:left="1080"/>
      <w:jc w:val="both"/>
    </w:pPr>
    <w:rPr>
      <w:bCs/>
      <w:sz w:val="25"/>
      <w:szCs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8"/>
    </w:rPr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Nyala" w:hAnsi="Nyala" w:eastAsia="Calibri" w:cs="Nyala"/>
      <w:color w:val="000000"/>
      <w:kern w:val="0"/>
      <w:position w:val="-1"/>
      <w:sz w:val="24"/>
      <w:szCs w:val="24"/>
      <w:lang w:val="pt-BR" w:eastAsia="en-US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dodoquadro" w:customStyle="1">
    <w:name w:val="Conteúdo do quadro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BMT/kvXGdXs60IolAfDmHywqW3g==">AMUW2mUwpwYEbHbyiDmT8gMg8spRFuCzzpyc0ou0lKnp2CbG/wBz9BuHhcSzpsHi3rvK2oJnEISuSSML/UZB0bWi9MjEgdm2MQ/22OoBqSt45JHkfSuewLY=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Application>LibreOffice/7.6.2.1$Windows_X86_64 LibreOffice_project/56f7684011345957bbf33a7ee678afaf4d2ba333</Application>
  <AppVersion>15.0000</AppVersion>
  <Pages>3</Pages>
  <Words>564</Words>
  <Characters>3426</Characters>
  <CharactersWithSpaces>3996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2023-06-13T11:25:00Z</dcterms:created>
  <dc:creator>x</dc:creator>
  <dc:description/>
  <dc:language>pt-BR</dc:language>
  <cp:lastModifiedBy/>
  <cp:lastPrinted>2025-10-10T11:23:51Z</cp:lastPrinted>
  <dcterms:modified xsi:type="dcterms:W3CDTF">2025-10-10T11:23:45Z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